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2517E1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242731B" w14:textId="0D2D651E" w:rsidR="00C4142E" w:rsidRPr="00E913CF" w:rsidRDefault="00C4142E" w:rsidP="00CA1BA5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Meeting #10</w:t>
      </w:r>
      <w:r w:rsidR="002F290A">
        <w:rPr>
          <w:rFonts w:ascii="Arial" w:hAnsi="Arial" w:cs="Arial"/>
          <w:b/>
          <w:sz w:val="28"/>
          <w:szCs w:val="28"/>
        </w:rPr>
        <w:t>7</w:t>
      </w:r>
      <w:r w:rsidR="00140CF7"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A1CC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</w:t>
      </w:r>
      <w:r w:rsidR="00B31D3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C21696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</w:t>
      </w:r>
      <w:r w:rsidR="00B31D3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A25949" w:rsidRPr="7F4619C7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GB"/>
        </w:rPr>
        <w:t>R1-</w:t>
      </w:r>
      <w:r w:rsidR="00725470" w:rsidRPr="7F4619C7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GB"/>
        </w:rPr>
        <w:t>211076</w:t>
      </w:r>
      <w:r w:rsidR="00725470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GB"/>
        </w:rPr>
        <w:t>4</w:t>
      </w:r>
    </w:p>
    <w:p w14:paraId="7A46B4E3" w14:textId="430D2DD7" w:rsidR="00C4142E" w:rsidRPr="00E913CF" w:rsidRDefault="00161D33" w:rsidP="00CA1BA5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4A4E4C">
        <w:rPr>
          <w:rFonts w:ascii="Arial" w:hAnsi="Arial" w:cs="Arial"/>
          <w:b/>
          <w:sz w:val="28"/>
          <w:szCs w:val="28"/>
        </w:rPr>
        <w:t xml:space="preserve">November </w:t>
      </w:r>
      <w:r w:rsidR="0082638C">
        <w:rPr>
          <w:rFonts w:ascii="Arial" w:hAnsi="Arial" w:cs="Arial"/>
          <w:b/>
          <w:sz w:val="28"/>
          <w:szCs w:val="28"/>
        </w:rPr>
        <w:t>1</w:t>
      </w:r>
      <w:r w:rsidR="009B6B30">
        <w:rPr>
          <w:rFonts w:ascii="Arial" w:hAnsi="Arial" w:cs="Arial"/>
          <w:b/>
          <w:sz w:val="28"/>
          <w:szCs w:val="28"/>
        </w:rPr>
        <w:t>1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 </w:t>
      </w:r>
      <w:r w:rsidR="008858B2">
        <w:rPr>
          <w:rFonts w:ascii="Arial" w:hAnsi="Arial" w:cs="Arial"/>
          <w:b/>
          <w:sz w:val="28"/>
          <w:szCs w:val="28"/>
        </w:rPr>
        <w:t>19</w:t>
      </w:r>
      <w:r w:rsidR="008858B2" w:rsidRPr="008858B2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1867DC">
        <w:rPr>
          <w:rFonts w:ascii="Arial" w:hAnsi="Arial" w:cs="Arial"/>
          <w:b/>
          <w:sz w:val="28"/>
          <w:szCs w:val="28"/>
        </w:rPr>
        <w:t>1</w:t>
      </w:r>
    </w:p>
    <w:p w14:paraId="05965FD4" w14:textId="02919E89" w:rsidR="00C4142E" w:rsidRDefault="00C4142E" w:rsidP="002517E1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CA1BA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218CE9F8" w:rsidR="005E1775" w:rsidRPr="00F61AEA" w:rsidRDefault="005E1775" w:rsidP="00CA1BA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187F9A" w:rsidRPr="00F61AEA">
        <w:rPr>
          <w:rFonts w:ascii="Arial" w:hAnsi="Arial" w:cs="Arial"/>
          <w:b/>
          <w:sz w:val="24"/>
          <w:szCs w:val="24"/>
        </w:rPr>
        <w:t>8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725470">
        <w:rPr>
          <w:rFonts w:ascii="Arial" w:eastAsia="SimSun" w:hAnsi="Arial" w:cs="Arial"/>
          <w:b/>
          <w:sz w:val="24"/>
          <w:szCs w:val="24"/>
          <w:lang w:eastAsia="zh-CN"/>
        </w:rPr>
        <w:t>2.3</w:t>
      </w:r>
    </w:p>
    <w:p w14:paraId="74E70920" w14:textId="4A60A977" w:rsidR="00C4142E" w:rsidRPr="00F61AEA" w:rsidRDefault="00C4142E" w:rsidP="00CA1BA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1108AF">
        <w:rPr>
          <w:rFonts w:ascii="Arial" w:hAnsi="Arial" w:cs="Arial"/>
          <w:b/>
          <w:sz w:val="24"/>
          <w:szCs w:val="24"/>
        </w:rPr>
        <w:t>,</w:t>
      </w:r>
      <w:r w:rsidR="005E1775" w:rsidRPr="00F61AEA">
        <w:rPr>
          <w:rFonts w:ascii="Arial" w:hAnsi="Arial" w:cs="Arial"/>
          <w:b/>
          <w:sz w:val="24"/>
          <w:szCs w:val="24"/>
        </w:rPr>
        <w:t xml:space="preserve"> Inc.</w:t>
      </w:r>
    </w:p>
    <w:p w14:paraId="5242FB99" w14:textId="35F8A02B" w:rsidR="004A4E4C" w:rsidRPr="00E913CF" w:rsidRDefault="00C4142E" w:rsidP="00CA1BA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C21696" w:rsidRPr="2E88448E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Further Discussion on Beam Management Enhancements for Multi-TRP</w:t>
      </w:r>
    </w:p>
    <w:p w14:paraId="35306FB9" w14:textId="28CE17FE" w:rsidR="00C4142E" w:rsidRPr="00E913CF" w:rsidRDefault="00C4142E" w:rsidP="00CA1BA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CA1BA5">
      <w:pPr>
        <w:pStyle w:val="NoSpacing"/>
        <w:contextualSpacing/>
        <w:jc w:val="both"/>
        <w:rPr>
          <w:rFonts w:ascii="Times" w:hAnsi="Times" w:cs="Times"/>
        </w:rPr>
      </w:pPr>
    </w:p>
    <w:p w14:paraId="0953B6DE" w14:textId="77777777" w:rsidR="000E7B48" w:rsidRPr="00B11D07" w:rsidRDefault="000E7B48" w:rsidP="00CA1BA5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2517E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639191E5" w14:textId="19EC3E52" w:rsidR="00403C65" w:rsidRDefault="00C21696" w:rsidP="00403C6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C21696">
        <w:rPr>
          <w:rFonts w:eastAsiaTheme="minorEastAsia" w:cs="Times"/>
          <w:sz w:val="22"/>
          <w:szCs w:val="22"/>
          <w:lang w:eastAsia="zh-CN"/>
        </w:rPr>
        <w:t xml:space="preserve">The work on the WID for Rel-17 </w:t>
      </w:r>
      <w:proofErr w:type="spellStart"/>
      <w:r w:rsidRPr="00C21696">
        <w:rPr>
          <w:rFonts w:eastAsiaTheme="minorEastAsia" w:cs="Times"/>
          <w:sz w:val="22"/>
          <w:szCs w:val="22"/>
          <w:lang w:eastAsia="zh-CN"/>
        </w:rPr>
        <w:t>eMIMO</w:t>
      </w:r>
      <w:proofErr w:type="spellEnd"/>
      <w:r w:rsidRPr="00C21696">
        <w:rPr>
          <w:rFonts w:eastAsiaTheme="minorEastAsia" w:cs="Times"/>
          <w:sz w:val="22"/>
          <w:szCs w:val="22"/>
          <w:lang w:eastAsia="zh-CN"/>
        </w:rPr>
        <w:t xml:space="preserve"> [1] was kicked off in the RAN1 #102-e meeting. This AI studies the enhancements to the beam management framework for multi-TRP including per TRP BFR enhancements:</w:t>
      </w:r>
    </w:p>
    <w:p w14:paraId="1CC56FFB" w14:textId="77777777" w:rsidR="00A25949" w:rsidRDefault="00A25949" w:rsidP="00403C6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56721" w:rsidRPr="00A25949" w14:paraId="7FC10F92" w14:textId="77777777" w:rsidTr="00BC5E61">
        <w:tc>
          <w:tcPr>
            <w:tcW w:w="10160" w:type="dxa"/>
          </w:tcPr>
          <w:p w14:paraId="3B30AD11" w14:textId="401D1BB5" w:rsidR="00C21696" w:rsidRDefault="00C21696" w:rsidP="00D63D70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contextualSpacing/>
              <w:rPr>
                <w:rFonts w:ascii="Times New Roman" w:eastAsia="Times" w:hAnsi="Times New Roman"/>
                <w:i/>
                <w:iCs/>
                <w:color w:val="000000" w:themeColor="text1"/>
              </w:rPr>
            </w:pPr>
            <w:r w:rsidRPr="00C21696">
              <w:rPr>
                <w:rFonts w:ascii="Times New Roman" w:eastAsia="Times" w:hAnsi="Times New Roman"/>
                <w:i/>
                <w:iCs/>
                <w:color w:val="000000" w:themeColor="text1"/>
              </w:rPr>
              <w:t>Enhancement on the support for multi-TRP deployment, targeting both FR1 and FR2:</w:t>
            </w:r>
            <w:r>
              <w:rPr>
                <w:rFonts w:ascii="Times New Roman" w:eastAsia="Times" w:hAnsi="Times New Roman"/>
                <w:i/>
                <w:iCs/>
                <w:color w:val="000000" w:themeColor="text1"/>
              </w:rPr>
              <w:t xml:space="preserve"> </w:t>
            </w:r>
          </w:p>
          <w:p w14:paraId="760A9639" w14:textId="322BF4A6" w:rsidR="00C21696" w:rsidRDefault="00C21696" w:rsidP="00403C65">
            <w:pPr>
              <w:pStyle w:val="ListParagraph"/>
              <w:spacing w:before="0" w:line="240" w:lineRule="auto"/>
              <w:contextualSpacing/>
              <w:rPr>
                <w:rFonts w:ascii="Times New Roman" w:eastAsia="Times" w:hAnsi="Times New Roman"/>
                <w:i/>
                <w:iCs/>
                <w:color w:val="000000" w:themeColor="text1"/>
              </w:rPr>
            </w:pPr>
            <w:r w:rsidRPr="00C21696">
              <w:rPr>
                <w:rFonts w:ascii="Times New Roman" w:eastAsia="Times" w:hAnsi="Times New Roman"/>
                <w:i/>
                <w:iCs/>
                <w:color w:val="000000" w:themeColor="text1"/>
              </w:rPr>
              <w:t>Evaluate and, if needed, specify beam-management-related enhancements for simultaneous multi-TRP transmission with multi-panel reception</w:t>
            </w:r>
          </w:p>
          <w:p w14:paraId="446F5FF5" w14:textId="086F6F71" w:rsidR="00A25949" w:rsidRPr="00A648E1" w:rsidRDefault="00A25949" w:rsidP="00D63D70">
            <w:pPr>
              <w:spacing w:after="0"/>
              <w:contextualSpacing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5E3DC62B" w14:textId="77777777" w:rsidR="00403C65" w:rsidRDefault="00403C65" w:rsidP="00403C65">
      <w:pPr>
        <w:tabs>
          <w:tab w:val="left" w:pos="720"/>
          <w:tab w:val="left" w:pos="144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ab/>
      </w:r>
    </w:p>
    <w:p w14:paraId="6DE96367" w14:textId="62BB71BF" w:rsidR="00403C65" w:rsidRPr="00403C65" w:rsidRDefault="00DB4268" w:rsidP="00D63D7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403C65">
        <w:rPr>
          <w:rFonts w:eastAsiaTheme="minorEastAsia" w:cs="Times"/>
          <w:sz w:val="22"/>
          <w:szCs w:val="22"/>
          <w:lang w:eastAsia="zh-CN"/>
        </w:rPr>
        <w:t>A few remaining issues on group-based beam management and per-TRP BFR enhancements remain to be discussed. In this contribution, we provide our views on the remaining issues for per-TRP BFR.</w:t>
      </w:r>
    </w:p>
    <w:p w14:paraId="4DE7BF88" w14:textId="1067CB4D" w:rsidR="00C4142E" w:rsidRPr="009B765E" w:rsidRDefault="00C4142E" w:rsidP="00CA1BA5">
      <w:pPr>
        <w:pStyle w:val="BodyText"/>
        <w:spacing w:after="0"/>
        <w:contextualSpacing/>
        <w:rPr>
          <w:rFonts w:eastAsiaTheme="minorEastAsia" w:cs="Times"/>
          <w:lang w:eastAsia="zh-CN"/>
        </w:rPr>
      </w:pPr>
    </w:p>
    <w:p w14:paraId="028BD4FB" w14:textId="4C07A732" w:rsidR="00A25949" w:rsidRPr="00A25949" w:rsidRDefault="003F42B3" w:rsidP="00A25949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Per TRP BFR</w:t>
      </w:r>
    </w:p>
    <w:p w14:paraId="2BF7730F" w14:textId="5CA5F7D6" w:rsidR="00A25949" w:rsidRPr="00D63D70" w:rsidRDefault="003F42B3" w:rsidP="00D63D70">
      <w:pPr>
        <w:spacing w:after="0"/>
        <w:contextualSpacing/>
        <w:jc w:val="both"/>
        <w:rPr>
          <w:rFonts w:ascii="Times" w:eastAsia="Times" w:hAnsi="Times" w:cs="Times"/>
          <w:b/>
          <w:bCs/>
          <w:color w:val="000000" w:themeColor="text1"/>
          <w:sz w:val="24"/>
          <w:szCs w:val="24"/>
        </w:rPr>
      </w:pPr>
      <w:r w:rsidRPr="00D63D70">
        <w:rPr>
          <w:rFonts w:ascii="Times" w:eastAsia="Times" w:hAnsi="Times" w:cs="Times"/>
          <w:b/>
          <w:bCs/>
          <w:color w:val="000000" w:themeColor="text1"/>
          <w:sz w:val="22"/>
          <w:szCs w:val="22"/>
          <w:highlight w:val="lightGray"/>
        </w:rPr>
        <w:t>PUCCH-SR resource selection rule</w:t>
      </w:r>
    </w:p>
    <w:p w14:paraId="097467A8" w14:textId="2A35FA5C" w:rsidR="003F42B3" w:rsidRPr="00D63D70" w:rsidRDefault="003F42B3" w:rsidP="00D63D7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D63D70">
        <w:rPr>
          <w:rFonts w:eastAsiaTheme="minorEastAsia" w:cs="Times"/>
          <w:sz w:val="22"/>
          <w:szCs w:val="22"/>
          <w:lang w:eastAsia="zh-CN"/>
        </w:rPr>
        <w:t>It</w:t>
      </w:r>
      <w:r w:rsidR="00741CAB">
        <w:rPr>
          <w:rFonts w:eastAsiaTheme="minorEastAsia" w:cs="Times"/>
          <w:sz w:val="22"/>
          <w:szCs w:val="22"/>
          <w:lang w:eastAsia="zh-CN"/>
        </w:rPr>
        <w:t xml:space="preserve"> has been</w:t>
      </w:r>
      <w:r w:rsidRPr="00D63D70">
        <w:rPr>
          <w:rFonts w:eastAsiaTheme="minorEastAsia" w:cs="Times"/>
          <w:sz w:val="22"/>
          <w:szCs w:val="22"/>
          <w:lang w:eastAsia="zh-CN"/>
        </w:rPr>
        <w:t xml:space="preserve"> agreed that up to two PUCCH-SR resources may be configured per cell group. One of the remaining open issues concerns the PUCCH-SR resource selection. At the RAN1#106b-e meeting [2], it was agreed to configure an association between a BFD-RS set and a PUCCH-SR resource:</w:t>
      </w:r>
    </w:p>
    <w:p w14:paraId="4D013EA4" w14:textId="77777777" w:rsidR="00403C65" w:rsidRPr="00A648E1" w:rsidRDefault="00403C65" w:rsidP="00D63D70">
      <w:pPr>
        <w:spacing w:after="0"/>
        <w:contextualSpacing/>
        <w:jc w:val="both"/>
        <w:rPr>
          <w:rFonts w:ascii="Times" w:eastAsia="Times" w:hAnsi="Times" w:cs="Times"/>
          <w:color w:val="000000" w:themeColor="text1"/>
        </w:rPr>
      </w:pP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</w:tblPr>
      <w:tblGrid>
        <w:gridCol w:w="10165"/>
      </w:tblGrid>
      <w:tr w:rsidR="00A25949" w14:paraId="66F66AFB" w14:textId="77777777" w:rsidTr="00877A0F">
        <w:tc>
          <w:tcPr>
            <w:tcW w:w="10165" w:type="dxa"/>
          </w:tcPr>
          <w:p w14:paraId="31942E8C" w14:textId="77777777" w:rsidR="003F42B3" w:rsidRPr="003F42B3" w:rsidRDefault="003F42B3" w:rsidP="00D63D70">
            <w:pPr>
              <w:spacing w:before="0" w:after="0" w:line="240" w:lineRule="auto"/>
              <w:contextualSpacing/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</w:pPr>
            <w:r w:rsidRPr="003F42B3"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  <w:t xml:space="preserve">Support to configure an association between a BFD-RS set on </w:t>
            </w:r>
            <w:proofErr w:type="spellStart"/>
            <w:r w:rsidRPr="003F42B3"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  <w:t>SpCell</w:t>
            </w:r>
            <w:proofErr w:type="spellEnd"/>
            <w:r w:rsidRPr="003F42B3"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  <w:t xml:space="preserve"> and a PUCCH-SR resource / SR configuration for per TRP BFR.</w:t>
            </w:r>
          </w:p>
          <w:p w14:paraId="1CCA902C" w14:textId="77777777" w:rsidR="003F42B3" w:rsidRPr="003F42B3" w:rsidRDefault="003F42B3" w:rsidP="00D63D70">
            <w:pPr>
              <w:spacing w:before="0" w:after="0" w:line="240" w:lineRule="auto"/>
              <w:contextualSpacing/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</w:pPr>
            <w:r w:rsidRPr="003F42B3"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  <w:t xml:space="preserve">FFS: Configure an association between a BFD-RS set on </w:t>
            </w:r>
            <w:proofErr w:type="spellStart"/>
            <w:r w:rsidRPr="003F42B3"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  <w:t>SCell</w:t>
            </w:r>
            <w:proofErr w:type="spellEnd"/>
            <w:r w:rsidRPr="003F42B3">
              <w:rPr>
                <w:rFonts w:ascii="Times" w:eastAsia="Times" w:hAnsi="Times" w:cs="Times"/>
                <w:i/>
                <w:iCs/>
                <w:color w:val="000000" w:themeColor="text1"/>
                <w:sz w:val="22"/>
                <w:szCs w:val="22"/>
              </w:rPr>
              <w:t xml:space="preserve"> and a PUCCH-SR resource / SR configuration for per TRP BFR</w:t>
            </w:r>
          </w:p>
          <w:p w14:paraId="4000AD57" w14:textId="722C6468" w:rsidR="00741CAB" w:rsidRDefault="003F42B3" w:rsidP="00D63D70">
            <w:pPr>
              <w:pStyle w:val="ListParagraph"/>
              <w:numPr>
                <w:ilvl w:val="0"/>
                <w:numId w:val="25"/>
              </w:numPr>
              <w:contextualSpacing/>
            </w:pPr>
            <w:r w:rsidRPr="00D63D70">
              <w:rPr>
                <w:rFonts w:ascii="Times" w:eastAsia="Times" w:hAnsi="Times" w:cs="Times"/>
                <w:i/>
                <w:iCs/>
                <w:color w:val="000000" w:themeColor="text1"/>
              </w:rPr>
              <w:t>A UE capability signaling is introduced for indicating the support of this association. Above applies only for multi-DCI case.</w:t>
            </w:r>
          </w:p>
          <w:p w14:paraId="1460F728" w14:textId="433ED490" w:rsidR="00A25949" w:rsidRDefault="00A25949" w:rsidP="00741CAB">
            <w:pPr>
              <w:pStyle w:val="ListParagraph"/>
              <w:spacing w:before="0" w:line="240" w:lineRule="auto"/>
              <w:contextualSpacing/>
              <w:jc w:val="left"/>
              <w:rPr>
                <w:rFonts w:eastAsiaTheme="minorEastAsia"/>
                <w:i/>
                <w:iCs/>
                <w:color w:val="000000" w:themeColor="text1"/>
              </w:rPr>
            </w:pPr>
          </w:p>
        </w:tc>
      </w:tr>
    </w:tbl>
    <w:p w14:paraId="38C36101" w14:textId="4B533E09" w:rsidR="000E7B97" w:rsidRPr="00750DAD" w:rsidRDefault="000E7B97" w:rsidP="00403C65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5A153875" w14:textId="11FFFDBB" w:rsidR="003F42B3" w:rsidRPr="00D63D70" w:rsidRDefault="003F42B3" w:rsidP="00D63D7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D63D70">
        <w:rPr>
          <w:rFonts w:eastAsiaTheme="minorEastAsia" w:cs="Times"/>
          <w:sz w:val="22"/>
          <w:szCs w:val="22"/>
          <w:lang w:eastAsia="zh-CN"/>
        </w:rPr>
        <w:t>It remains FFS how the association is done between the PUCCH-SR resource and the failed/non-failed TRP. One main issue raised during the e-mail discussions is for the inter-cell case. If different TRPs are configured in different cells, then there may be more TRPs than PUCCH-SR resources configured for the cell group since they are limited to 2. The</w:t>
      </w:r>
      <w:r w:rsidR="00741CAB">
        <w:rPr>
          <w:rFonts w:eastAsiaTheme="minorEastAsia" w:cs="Times"/>
          <w:sz w:val="22"/>
          <w:szCs w:val="22"/>
          <w:lang w:eastAsia="zh-CN"/>
        </w:rPr>
        <w:t>refore,</w:t>
      </w:r>
      <w:r w:rsidRPr="00D63D70">
        <w:rPr>
          <w:rFonts w:eastAsiaTheme="minorEastAsia" w:cs="Times"/>
          <w:sz w:val="22"/>
          <w:szCs w:val="22"/>
          <w:lang w:eastAsia="zh-CN"/>
        </w:rPr>
        <w:t xml:space="preserve"> it is FFS which PUCCH-SR resource should be used for those TRPs without association. In the latest FL summary e-mail discussion, the moderator provided one more proposal regarding association:</w:t>
      </w:r>
    </w:p>
    <w:p w14:paraId="7B23CC66" w14:textId="77777777" w:rsidR="003F42B3" w:rsidRDefault="003F42B3" w:rsidP="00D63D70">
      <w:pPr>
        <w:spacing w:after="0"/>
        <w:ind w:firstLine="288"/>
        <w:contextualSpacing/>
        <w:jc w:val="both"/>
        <w:rPr>
          <w:rFonts w:eastAsia="Times New Roman"/>
          <w:color w:val="000000" w:themeColor="text1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003F42B3" w14:paraId="44695EDC" w14:textId="77777777" w:rsidTr="00AE5207">
        <w:tc>
          <w:tcPr>
            <w:tcW w:w="9360" w:type="dxa"/>
          </w:tcPr>
          <w:p w14:paraId="27656B7A" w14:textId="77777777" w:rsidR="003F42B3" w:rsidRDefault="003F42B3" w:rsidP="00D63D70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color w:val="000000" w:themeColor="text1"/>
              </w:rPr>
            </w:pPr>
            <w:r w:rsidRPr="2E88448E">
              <w:rPr>
                <w:rFonts w:eastAsia="Times New Roman"/>
                <w:i/>
                <w:iCs/>
                <w:color w:val="000000" w:themeColor="text1"/>
                <w:sz w:val="22"/>
                <w:szCs w:val="22"/>
              </w:rPr>
              <w:t xml:space="preserve">FL Proposal 2.5-2: On the PUCCH-SR resource selection rule when SR is </w:t>
            </w:r>
            <w:proofErr w:type="gramStart"/>
            <w:r w:rsidRPr="2E88448E">
              <w:rPr>
                <w:rFonts w:eastAsia="Times New Roman"/>
                <w:i/>
                <w:iCs/>
                <w:color w:val="000000" w:themeColor="text1"/>
                <w:sz w:val="22"/>
                <w:szCs w:val="22"/>
              </w:rPr>
              <w:t>triggered</w:t>
            </w:r>
            <w:proofErr w:type="gramEnd"/>
            <w:r w:rsidRPr="2E88448E">
              <w:rPr>
                <w:rFonts w:eastAsia="Times New Roman"/>
                <w:i/>
                <w:iCs/>
                <w:color w:val="000000" w:themeColor="text1"/>
                <w:sz w:val="22"/>
                <w:szCs w:val="22"/>
              </w:rPr>
              <w:t xml:space="preserve"> and 2 PUCCH-SR resources are configured:</w:t>
            </w:r>
          </w:p>
          <w:p w14:paraId="78D8FC10" w14:textId="77777777" w:rsidR="003F42B3" w:rsidRDefault="003F42B3" w:rsidP="00D63D70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contextualSpacing/>
              <w:rPr>
                <w:rFonts w:cs="Calibri"/>
                <w:color w:val="000000" w:themeColor="text1"/>
                <w:lang w:val="en-GB"/>
              </w:rPr>
            </w:pPr>
            <w:r w:rsidRPr="2E88448E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t>If all failed BFD-RS sets cross CCs are associated with the same PUCCH SR resource</w:t>
            </w:r>
          </w:p>
          <w:p w14:paraId="374ADC5D" w14:textId="77777777" w:rsidR="003F42B3" w:rsidRDefault="003F42B3" w:rsidP="00D63D70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contextualSpacing/>
              <w:rPr>
                <w:color w:val="000000" w:themeColor="text1"/>
                <w:lang w:val="en-GB"/>
              </w:rPr>
            </w:pPr>
            <w:r w:rsidRPr="2E88448E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t>Alt-1: select the PUCCH-SR associated to failed BFD-RS set</w:t>
            </w:r>
          </w:p>
          <w:p w14:paraId="4DF49AA6" w14:textId="77777777" w:rsidR="003F42B3" w:rsidRDefault="003F42B3" w:rsidP="00D63D70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contextualSpacing/>
              <w:rPr>
                <w:color w:val="000000" w:themeColor="text1"/>
                <w:lang w:val="en-GB"/>
              </w:rPr>
            </w:pPr>
            <w:r w:rsidRPr="2E88448E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t>Alt-2: select the PUCCH-SR associated to non-failed BFD-RS set</w:t>
            </w:r>
          </w:p>
          <w:p w14:paraId="762E7ED1" w14:textId="77777777" w:rsidR="003F42B3" w:rsidRPr="00D63D70" w:rsidRDefault="003F42B3" w:rsidP="00403C6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contextualSpacing/>
              <w:rPr>
                <w:color w:val="000000" w:themeColor="text1"/>
                <w:lang w:val="en-GB"/>
              </w:rPr>
            </w:pPr>
            <w:r w:rsidRPr="2E88448E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lastRenderedPageBreak/>
              <w:t>Else PUCCH-SR resource selection is up to UE implementation</w:t>
            </w:r>
          </w:p>
          <w:p w14:paraId="3BDDBB5B" w14:textId="4CE7DDA2" w:rsidR="00741CAB" w:rsidRDefault="00741CAB" w:rsidP="00D63D70">
            <w:pPr>
              <w:pStyle w:val="ListParagraph"/>
              <w:spacing w:before="0" w:line="240" w:lineRule="auto"/>
              <w:contextualSpacing/>
              <w:rPr>
                <w:color w:val="000000" w:themeColor="text1"/>
                <w:lang w:val="en-GB"/>
              </w:rPr>
            </w:pPr>
          </w:p>
        </w:tc>
      </w:tr>
    </w:tbl>
    <w:p w14:paraId="1968FEBB" w14:textId="77777777" w:rsidR="003F42B3" w:rsidRDefault="003F42B3" w:rsidP="00D63D70">
      <w:pPr>
        <w:spacing w:after="0"/>
        <w:ind w:firstLine="288"/>
        <w:contextualSpacing/>
        <w:jc w:val="both"/>
        <w:rPr>
          <w:rFonts w:eastAsia="Times New Roman"/>
          <w:color w:val="000000" w:themeColor="text1"/>
        </w:rPr>
      </w:pPr>
    </w:p>
    <w:p w14:paraId="6C01197B" w14:textId="77777777" w:rsidR="003F42B3" w:rsidRDefault="003F42B3" w:rsidP="00D63D70">
      <w:pPr>
        <w:spacing w:after="0"/>
        <w:ind w:firstLine="288"/>
        <w:contextualSpacing/>
        <w:jc w:val="both"/>
        <w:rPr>
          <w:rFonts w:eastAsia="Times New Roman"/>
          <w:color w:val="000000" w:themeColor="text1"/>
        </w:rPr>
      </w:pPr>
      <w:r w:rsidRPr="2E88448E">
        <w:rPr>
          <w:rFonts w:eastAsia="Times New Roman"/>
          <w:color w:val="000000" w:themeColor="text1"/>
          <w:sz w:val="22"/>
          <w:szCs w:val="22"/>
        </w:rPr>
        <w:t xml:space="preserve">We think this is a good starting point for the remaining discussion, and we provide our views on these alternatives to conclude the discussion. </w:t>
      </w:r>
    </w:p>
    <w:p w14:paraId="653EE42E" w14:textId="77777777" w:rsidR="00741CAB" w:rsidRPr="00D63D70" w:rsidRDefault="003F42B3" w:rsidP="00741CAB">
      <w:pPr>
        <w:pStyle w:val="ListParagraph"/>
        <w:numPr>
          <w:ilvl w:val="0"/>
          <w:numId w:val="23"/>
        </w:numPr>
        <w:contextualSpacing/>
        <w:jc w:val="both"/>
        <w:rPr>
          <w:rFonts w:ascii="Times New Roman" w:eastAsia="Times New Roman" w:hAnsi="Times New Roman"/>
          <w:color w:val="000000" w:themeColor="text1"/>
        </w:rPr>
      </w:pPr>
      <w:r w:rsidRPr="00D63D70">
        <w:rPr>
          <w:rFonts w:ascii="Times New Roman" w:eastAsia="Times New Roman" w:hAnsi="Times New Roman"/>
          <w:color w:val="000000" w:themeColor="text1"/>
        </w:rPr>
        <w:t xml:space="preserve">Alt-1 provides a solution when more than one BFD-RS set fails across the CCs. For TRPs in </w:t>
      </w:r>
      <w:proofErr w:type="spellStart"/>
      <w:r w:rsidRPr="00D63D70">
        <w:rPr>
          <w:rFonts w:ascii="Times New Roman" w:eastAsia="Times New Roman" w:hAnsi="Times New Roman"/>
          <w:color w:val="000000" w:themeColor="text1"/>
        </w:rPr>
        <w:t>SCells</w:t>
      </w:r>
      <w:proofErr w:type="spellEnd"/>
      <w:r w:rsidRPr="00D63D70">
        <w:rPr>
          <w:rFonts w:ascii="Times New Roman" w:eastAsia="Times New Roman" w:hAnsi="Times New Roman"/>
          <w:color w:val="000000" w:themeColor="text1"/>
        </w:rPr>
        <w:t xml:space="preserve">, they may be associated with a PUCCH-SR resource in the </w:t>
      </w:r>
      <w:proofErr w:type="spellStart"/>
      <w:r w:rsidRPr="00D63D70">
        <w:rPr>
          <w:rFonts w:ascii="Times New Roman" w:eastAsia="Times New Roman" w:hAnsi="Times New Roman"/>
          <w:color w:val="000000" w:themeColor="text1"/>
        </w:rPr>
        <w:t>SpCell</w:t>
      </w:r>
      <w:proofErr w:type="spellEnd"/>
      <w:r w:rsidRPr="00D63D70">
        <w:rPr>
          <w:rFonts w:ascii="Times New Roman" w:eastAsia="Times New Roman" w:hAnsi="Times New Roman"/>
          <w:color w:val="000000" w:themeColor="text1"/>
        </w:rPr>
        <w:t xml:space="preserve">. This ensures that the association between PUCCH-SR resource and failed TRP is configured. </w:t>
      </w:r>
    </w:p>
    <w:p w14:paraId="013B83D1" w14:textId="13CE1D18" w:rsidR="003F42B3" w:rsidRPr="00D63D70" w:rsidRDefault="003F42B3" w:rsidP="00D63D70">
      <w:pPr>
        <w:pStyle w:val="ListParagraph"/>
        <w:numPr>
          <w:ilvl w:val="0"/>
          <w:numId w:val="23"/>
        </w:numPr>
        <w:contextualSpacing/>
        <w:jc w:val="both"/>
        <w:rPr>
          <w:rFonts w:eastAsia="Times New Roman"/>
          <w:color w:val="000000" w:themeColor="text1"/>
        </w:rPr>
      </w:pPr>
      <w:r w:rsidRPr="00D63D70">
        <w:rPr>
          <w:rFonts w:ascii="Times New Roman" w:eastAsia="Times New Roman" w:hAnsi="Times New Roman"/>
          <w:color w:val="000000" w:themeColor="text1"/>
        </w:rPr>
        <w:t>Alt-2 is similar to Alt-</w:t>
      </w:r>
      <w:proofErr w:type="gramStart"/>
      <w:r w:rsidRPr="00D63D70">
        <w:rPr>
          <w:rFonts w:ascii="Times New Roman" w:eastAsia="Times New Roman" w:hAnsi="Times New Roman"/>
          <w:color w:val="000000" w:themeColor="text1"/>
        </w:rPr>
        <w:t>1</w:t>
      </w:r>
      <w:proofErr w:type="gramEnd"/>
      <w:r w:rsidRPr="00D63D70">
        <w:rPr>
          <w:rFonts w:ascii="Times New Roman" w:eastAsia="Times New Roman" w:hAnsi="Times New Roman"/>
          <w:color w:val="000000" w:themeColor="text1"/>
        </w:rPr>
        <w:t xml:space="preserve"> but the chosen PUCCH-SR resource is associated to the TRP that did not fail. We prefer Alt-1 to provide implicit association between failed TRP and PUCCH-SR resource. </w:t>
      </w:r>
    </w:p>
    <w:p w14:paraId="633C8D6A" w14:textId="77777777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</w:p>
    <w:p w14:paraId="250A06F5" w14:textId="77777777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Observation 1: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The inter-cell case can be supported through associating PUCCH-SR resources from </w:t>
      </w:r>
      <w:proofErr w:type="spellStart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SpCell</w:t>
      </w:r>
      <w:proofErr w:type="spellEnd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 to TRPs in </w:t>
      </w:r>
      <w:proofErr w:type="spellStart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SCells</w:t>
      </w:r>
      <w:proofErr w:type="spellEnd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. </w:t>
      </w:r>
    </w:p>
    <w:p w14:paraId="0CB9B614" w14:textId="77777777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</w:p>
    <w:p w14:paraId="4B8AE545" w14:textId="2870A921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Proposal 1: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Support Alt-1</w:t>
      </w:r>
      <w:r w:rsidR="00315902">
        <w:rPr>
          <w:rFonts w:eastAsia="Times New Roman"/>
          <w:i/>
          <w:iCs/>
          <w:color w:val="000000" w:themeColor="text1"/>
          <w:sz w:val="22"/>
          <w:szCs w:val="22"/>
        </w:rPr>
        <w:t>;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 select the PUCCH-SR associated to failed BFD-RS set.</w:t>
      </w:r>
    </w:p>
    <w:p w14:paraId="2A8A7743" w14:textId="77777777" w:rsidR="003F42B3" w:rsidRDefault="003F42B3" w:rsidP="00D63D70">
      <w:pPr>
        <w:spacing w:after="0"/>
        <w:contextualSpacing/>
        <w:rPr>
          <w:rFonts w:eastAsia="Times New Roman"/>
        </w:rPr>
      </w:pPr>
    </w:p>
    <w:p w14:paraId="1D0E0E19" w14:textId="77777777" w:rsidR="003F42B3" w:rsidRDefault="003F42B3" w:rsidP="00D63D70">
      <w:pPr>
        <w:spacing w:after="0"/>
        <w:contextualSpacing/>
        <w:jc w:val="both"/>
        <w:rPr>
          <w:rFonts w:ascii="Times" w:eastAsia="Times" w:hAnsi="Times" w:cs="Times"/>
          <w:color w:val="000000" w:themeColor="text1"/>
        </w:rPr>
      </w:pPr>
      <w:r w:rsidRPr="2E88448E">
        <w:rPr>
          <w:rFonts w:ascii="Times" w:eastAsia="Times" w:hAnsi="Times" w:cs="Times"/>
          <w:b/>
          <w:bCs/>
          <w:color w:val="000000" w:themeColor="text1"/>
          <w:sz w:val="22"/>
          <w:szCs w:val="22"/>
          <w:highlight w:val="lightGray"/>
        </w:rPr>
        <w:t>RACH-based fallback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003F42B3" w14:paraId="3A55F87A" w14:textId="77777777" w:rsidTr="00AE5207">
        <w:tc>
          <w:tcPr>
            <w:tcW w:w="9360" w:type="dxa"/>
          </w:tcPr>
          <w:p w14:paraId="3F3F96DF" w14:textId="77777777" w:rsidR="003F42B3" w:rsidRPr="00315902" w:rsidRDefault="003F42B3" w:rsidP="00D63D70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color w:val="000000" w:themeColor="text1"/>
              </w:rPr>
            </w:pPr>
            <w:r w:rsidRPr="00315902">
              <w:rPr>
                <w:rFonts w:eastAsia="Times New Roman"/>
                <w:i/>
                <w:iCs/>
                <w:color w:val="000000" w:themeColor="text1"/>
                <w:sz w:val="22"/>
                <w:szCs w:val="22"/>
              </w:rPr>
              <w:t xml:space="preserve">RACH-based transmission can be triggered on a </w:t>
            </w:r>
            <w:proofErr w:type="spellStart"/>
            <w:r w:rsidRPr="00315902">
              <w:rPr>
                <w:rFonts w:eastAsia="Times New Roman"/>
                <w:i/>
                <w:iCs/>
                <w:color w:val="000000" w:themeColor="text1"/>
                <w:sz w:val="22"/>
                <w:szCs w:val="22"/>
              </w:rPr>
              <w:t>SpCell</w:t>
            </w:r>
            <w:proofErr w:type="spellEnd"/>
            <w:r w:rsidRPr="00315902">
              <w:rPr>
                <w:rFonts w:eastAsia="Times New Roman"/>
                <w:i/>
                <w:iCs/>
                <w:color w:val="000000" w:themeColor="text1"/>
                <w:sz w:val="22"/>
                <w:szCs w:val="22"/>
              </w:rPr>
              <w:t xml:space="preserve"> at least in the following scenarios</w:t>
            </w:r>
          </w:p>
          <w:p w14:paraId="058BAEEC" w14:textId="77777777" w:rsidR="003F42B3" w:rsidRPr="00315902" w:rsidRDefault="003F42B3" w:rsidP="00D63D70">
            <w:pPr>
              <w:pStyle w:val="ListParagraph"/>
              <w:numPr>
                <w:ilvl w:val="0"/>
                <w:numId w:val="24"/>
              </w:numPr>
              <w:spacing w:before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</w:rPr>
            </w:pPr>
            <w:r w:rsidRPr="00315902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t xml:space="preserve">Scenario 1: When beam failure is detected on all BFD-RS sets on the </w:t>
            </w:r>
            <w:proofErr w:type="spellStart"/>
            <w:r w:rsidRPr="00315902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t>SpCell</w:t>
            </w:r>
            <w:proofErr w:type="spellEnd"/>
            <w:r w:rsidRPr="00315902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t xml:space="preserve"> </w:t>
            </w:r>
          </w:p>
          <w:p w14:paraId="5AC25944" w14:textId="77777777" w:rsidR="003F42B3" w:rsidRPr="00315902" w:rsidRDefault="003F42B3" w:rsidP="00D63D70">
            <w:pPr>
              <w:pStyle w:val="ListParagraph"/>
              <w:numPr>
                <w:ilvl w:val="0"/>
                <w:numId w:val="24"/>
              </w:numPr>
              <w:spacing w:before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</w:rPr>
            </w:pPr>
            <w:r w:rsidRPr="00315902">
              <w:rPr>
                <w:rFonts w:ascii="Times New Roman" w:eastAsia="Times New Roman" w:hAnsi="Times New Roman"/>
                <w:i/>
                <w:iCs/>
                <w:color w:val="000000" w:themeColor="text1"/>
                <w:lang w:val="en-GB"/>
              </w:rPr>
              <w:t>FFS: other scenarios</w:t>
            </w:r>
          </w:p>
          <w:p w14:paraId="6CE7751E" w14:textId="77777777" w:rsidR="003F42B3" w:rsidRPr="00315902" w:rsidRDefault="003F42B3" w:rsidP="00D63D70">
            <w:pPr>
              <w:pStyle w:val="xmsonormal"/>
              <w:spacing w:before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Scenario 2: at least one TRP fails on </w:t>
            </w:r>
            <w:proofErr w:type="spellStart"/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SpCell</w:t>
            </w:r>
            <w:proofErr w:type="spellEnd"/>
          </w:p>
          <w:p w14:paraId="068503ED" w14:textId="77777777" w:rsidR="003F42B3" w:rsidRPr="00315902" w:rsidRDefault="003F42B3" w:rsidP="00D63D70">
            <w:pPr>
              <w:pStyle w:val="xmsonormal"/>
              <w:spacing w:before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Scenario 3: at least one pre-defined TRP fails on </w:t>
            </w:r>
            <w:proofErr w:type="spellStart"/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SpCell</w:t>
            </w:r>
            <w:proofErr w:type="spellEnd"/>
          </w:p>
          <w:p w14:paraId="37F450AC" w14:textId="77777777" w:rsidR="003F42B3" w:rsidRPr="00315902" w:rsidRDefault="003F42B3" w:rsidP="00D63D70">
            <w:pPr>
              <w:pStyle w:val="xmsonormal"/>
              <w:spacing w:before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Scenario 4: at least one TRP </w:t>
            </w:r>
            <w:proofErr w:type="gramStart"/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fails</w:t>
            </w:r>
            <w:proofErr w:type="gramEnd"/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and no PUCCH-SR is configured, and no UL grant is available</w:t>
            </w:r>
          </w:p>
          <w:p w14:paraId="32C7AB74" w14:textId="77777777" w:rsidR="003F42B3" w:rsidRPr="00315902" w:rsidRDefault="003F42B3" w:rsidP="00D63D70">
            <w:pPr>
              <w:pStyle w:val="xmsonormal"/>
              <w:spacing w:before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Scenario 5: If MAC-CE based reporting does not work (details FFS)</w:t>
            </w:r>
          </w:p>
          <w:p w14:paraId="31095A3B" w14:textId="77777777" w:rsidR="003F42B3" w:rsidRPr="00315902" w:rsidRDefault="003F42B3" w:rsidP="00D63D70">
            <w:pPr>
              <w:pStyle w:val="xmsonormal"/>
              <w:spacing w:before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 w:rsidRPr="003159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Scenario 6: When no PUCCH-SR is configured</w:t>
            </w:r>
          </w:p>
          <w:p w14:paraId="4ED76226" w14:textId="77777777" w:rsidR="003F42B3" w:rsidRPr="00D63D70" w:rsidRDefault="003F42B3" w:rsidP="00D63D70">
            <w:pPr>
              <w:pStyle w:val="xmsonormal"/>
              <w:spacing w:before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  <w:p w14:paraId="26FB519F" w14:textId="77777777" w:rsidR="003F42B3" w:rsidRPr="00D63D70" w:rsidRDefault="003F42B3" w:rsidP="00403C65">
            <w:pPr>
              <w:pStyle w:val="xmsonormal"/>
              <w:spacing w:before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D63D7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For RACH-based transmission, at least when all BFD-RS sets fail in </w:t>
            </w:r>
            <w:proofErr w:type="spellStart"/>
            <w:r w:rsidRPr="00D63D7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SpCell</w:t>
            </w:r>
            <w:proofErr w:type="spellEnd"/>
            <w:r w:rsidRPr="00D63D7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, CBRA is supported.</w:t>
            </w:r>
          </w:p>
          <w:p w14:paraId="37DD280B" w14:textId="5AC086AC" w:rsidR="00315902" w:rsidRDefault="00315902" w:rsidP="00D63D70">
            <w:pPr>
              <w:pStyle w:val="xmsonormal"/>
              <w:spacing w:before="0" w:line="240" w:lineRule="auto"/>
              <w:contextualSpacing/>
              <w:rPr>
                <w:i/>
                <w:iCs/>
                <w:color w:val="000000" w:themeColor="text1"/>
              </w:rPr>
            </w:pPr>
          </w:p>
        </w:tc>
      </w:tr>
    </w:tbl>
    <w:p w14:paraId="0F2A28EE" w14:textId="77777777" w:rsidR="003F42B3" w:rsidRDefault="003F42B3" w:rsidP="00D63D70">
      <w:pPr>
        <w:spacing w:after="0"/>
        <w:contextualSpacing/>
        <w:rPr>
          <w:rFonts w:eastAsia="Times New Roman"/>
        </w:rPr>
      </w:pPr>
    </w:p>
    <w:p w14:paraId="5F70E64F" w14:textId="55ABAF65" w:rsidR="003F42B3" w:rsidRPr="00D63D70" w:rsidRDefault="00315902" w:rsidP="00D63D70">
      <w:pPr>
        <w:spacing w:after="0"/>
        <w:ind w:firstLine="288"/>
        <w:contextualSpacing/>
        <w:jc w:val="both"/>
        <w:rPr>
          <w:rFonts w:eastAsia="Times New Roman"/>
          <w:color w:val="000000" w:themeColor="text1"/>
          <w:sz w:val="22"/>
          <w:szCs w:val="22"/>
        </w:rPr>
      </w:pPr>
      <w:r>
        <w:rPr>
          <w:rFonts w:eastAsia="Times New Roman"/>
          <w:color w:val="000000" w:themeColor="text1"/>
          <w:sz w:val="22"/>
          <w:szCs w:val="22"/>
        </w:rPr>
        <w:t>In the l</w:t>
      </w:r>
      <w:r w:rsidR="003F42B3" w:rsidRPr="00D63D70">
        <w:rPr>
          <w:rFonts w:eastAsia="Times New Roman"/>
          <w:color w:val="000000" w:themeColor="text1"/>
          <w:sz w:val="22"/>
          <w:szCs w:val="22"/>
        </w:rPr>
        <w:t xml:space="preserve">ast meeting, an agreement was made to support RACH-based fallback when beam failure is detected on all BFD-RS sets on the </w:t>
      </w:r>
      <w:proofErr w:type="spellStart"/>
      <w:r w:rsidR="003F42B3" w:rsidRPr="00D63D70">
        <w:rPr>
          <w:rFonts w:eastAsia="Times New Roman"/>
          <w:color w:val="000000" w:themeColor="text1"/>
          <w:sz w:val="22"/>
          <w:szCs w:val="22"/>
        </w:rPr>
        <w:t>SpCell</w:t>
      </w:r>
      <w:proofErr w:type="spellEnd"/>
      <w:r w:rsidR="003F42B3" w:rsidRPr="00D63D70">
        <w:rPr>
          <w:rFonts w:eastAsia="Times New Roman"/>
          <w:color w:val="000000" w:themeColor="text1"/>
          <w:sz w:val="22"/>
          <w:szCs w:val="22"/>
        </w:rPr>
        <w:t xml:space="preserve"> which is Scenario 1. It was also agreed that only CBRA is supported</w:t>
      </w:r>
      <w:r>
        <w:rPr>
          <w:rFonts w:eastAsia="Times New Roman"/>
          <w:color w:val="000000" w:themeColor="text1"/>
          <w:sz w:val="22"/>
          <w:szCs w:val="22"/>
        </w:rPr>
        <w:t xml:space="preserve"> for fallback</w:t>
      </w:r>
      <w:r w:rsidR="003F42B3" w:rsidRPr="00D63D70">
        <w:rPr>
          <w:rFonts w:eastAsia="Times New Roman"/>
          <w:color w:val="000000" w:themeColor="text1"/>
          <w:sz w:val="22"/>
          <w:szCs w:val="22"/>
        </w:rPr>
        <w:t xml:space="preserve">. In the e-mail discussion, other scenarios were identified where RACH-based fallback may be supported. </w:t>
      </w:r>
    </w:p>
    <w:p w14:paraId="60BD877B" w14:textId="77777777" w:rsidR="00315902" w:rsidRDefault="00315902" w:rsidP="00315902">
      <w:pPr>
        <w:spacing w:after="0"/>
        <w:ind w:firstLine="288"/>
        <w:contextualSpacing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09405937" w14:textId="66DF7955" w:rsidR="003F42B3" w:rsidRPr="00D63D70" w:rsidRDefault="003F42B3" w:rsidP="00D63D70">
      <w:pPr>
        <w:spacing w:after="0"/>
        <w:ind w:firstLine="288"/>
        <w:contextualSpacing/>
        <w:jc w:val="both"/>
        <w:rPr>
          <w:rFonts w:eastAsia="Times New Roman"/>
          <w:color w:val="000000" w:themeColor="text1"/>
          <w:sz w:val="22"/>
          <w:szCs w:val="22"/>
        </w:rPr>
      </w:pPr>
      <w:proofErr w:type="gramStart"/>
      <w:r w:rsidRPr="00D63D70">
        <w:rPr>
          <w:rFonts w:eastAsia="Times New Roman"/>
          <w:color w:val="000000" w:themeColor="text1"/>
          <w:sz w:val="22"/>
          <w:szCs w:val="22"/>
        </w:rPr>
        <w:t>Scenario</w:t>
      </w:r>
      <w:proofErr w:type="gramEnd"/>
      <w:r w:rsidRPr="00D63D70">
        <w:rPr>
          <w:rFonts w:eastAsia="Times New Roman"/>
          <w:color w:val="000000" w:themeColor="text1"/>
          <w:sz w:val="22"/>
          <w:szCs w:val="22"/>
        </w:rPr>
        <w:t xml:space="preserve"> 2 and 3 consider the case where one TRP fails on </w:t>
      </w:r>
      <w:proofErr w:type="spellStart"/>
      <w:r w:rsidRPr="00D63D70">
        <w:rPr>
          <w:rFonts w:eastAsia="Times New Roman"/>
          <w:color w:val="000000" w:themeColor="text1"/>
          <w:sz w:val="22"/>
          <w:szCs w:val="22"/>
        </w:rPr>
        <w:t>SpCell</w:t>
      </w:r>
      <w:proofErr w:type="spellEnd"/>
      <w:r w:rsidRPr="00D63D70">
        <w:rPr>
          <w:rFonts w:eastAsia="Times New Roman"/>
          <w:color w:val="000000" w:themeColor="text1"/>
          <w:sz w:val="22"/>
          <w:szCs w:val="22"/>
        </w:rPr>
        <w:t xml:space="preserve">. Then, </w:t>
      </w:r>
      <w:r w:rsidR="003B23EF">
        <w:rPr>
          <w:rFonts w:eastAsia="Times New Roman"/>
          <w:color w:val="000000" w:themeColor="text1"/>
          <w:sz w:val="22"/>
          <w:szCs w:val="22"/>
        </w:rPr>
        <w:t xml:space="preserve">a </w:t>
      </w:r>
      <w:r w:rsidRPr="00D63D70">
        <w:rPr>
          <w:rFonts w:eastAsia="Times New Roman"/>
          <w:color w:val="000000" w:themeColor="text1"/>
          <w:sz w:val="22"/>
          <w:szCs w:val="22"/>
        </w:rPr>
        <w:t>Rel-16</w:t>
      </w:r>
      <w:r w:rsidR="003B23EF">
        <w:rPr>
          <w:rFonts w:eastAsia="Times New Roman"/>
          <w:color w:val="000000" w:themeColor="text1"/>
          <w:sz w:val="22"/>
          <w:szCs w:val="22"/>
        </w:rPr>
        <w:t>-based</w:t>
      </w:r>
      <w:r w:rsidRPr="00D63D70">
        <w:rPr>
          <w:rFonts w:eastAsia="Times New Roman"/>
          <w:color w:val="000000" w:themeColor="text1"/>
          <w:sz w:val="22"/>
          <w:szCs w:val="22"/>
        </w:rPr>
        <w:t xml:space="preserve"> BFR for </w:t>
      </w:r>
      <w:proofErr w:type="spellStart"/>
      <w:r w:rsidRPr="00D63D70">
        <w:rPr>
          <w:rFonts w:eastAsia="Times New Roman"/>
          <w:color w:val="000000" w:themeColor="text1"/>
          <w:sz w:val="22"/>
          <w:szCs w:val="22"/>
        </w:rPr>
        <w:t>SpCell</w:t>
      </w:r>
      <w:proofErr w:type="spellEnd"/>
      <w:r w:rsidRPr="00D63D70">
        <w:rPr>
          <w:rFonts w:eastAsia="Times New Roman"/>
          <w:color w:val="000000" w:themeColor="text1"/>
          <w:sz w:val="22"/>
          <w:szCs w:val="22"/>
        </w:rPr>
        <w:t xml:space="preserve"> is performed using the RACH-based procedure. For Rel-17, per-TRP BFR is based on the PUCCH-SR procedure used for </w:t>
      </w:r>
      <w:proofErr w:type="spellStart"/>
      <w:r w:rsidRPr="00D63D70">
        <w:rPr>
          <w:rFonts w:eastAsia="Times New Roman"/>
          <w:color w:val="000000" w:themeColor="text1"/>
          <w:sz w:val="22"/>
          <w:szCs w:val="22"/>
        </w:rPr>
        <w:t>SCells</w:t>
      </w:r>
      <w:proofErr w:type="spellEnd"/>
      <w:r w:rsidRPr="00D63D70">
        <w:rPr>
          <w:rFonts w:eastAsia="Times New Roman"/>
          <w:color w:val="000000" w:themeColor="text1"/>
          <w:sz w:val="22"/>
          <w:szCs w:val="22"/>
        </w:rPr>
        <w:t>. The MAC-CE procedure should be used by default whenever a PUCCH-SR resource and UL grant are available.</w:t>
      </w:r>
    </w:p>
    <w:p w14:paraId="141971B2" w14:textId="77777777" w:rsidR="00315902" w:rsidRDefault="00315902" w:rsidP="00315902">
      <w:pPr>
        <w:spacing w:after="0"/>
        <w:ind w:firstLine="288"/>
        <w:contextualSpacing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0B7F4C55" w14:textId="77777777" w:rsidR="003B23EF" w:rsidRDefault="003F42B3" w:rsidP="00315902">
      <w:pPr>
        <w:spacing w:after="0"/>
        <w:ind w:firstLine="288"/>
        <w:contextualSpacing/>
        <w:jc w:val="both"/>
        <w:rPr>
          <w:rFonts w:eastAsia="Times New Roman"/>
          <w:color w:val="000000" w:themeColor="text1"/>
          <w:sz w:val="22"/>
          <w:szCs w:val="22"/>
        </w:rPr>
      </w:pPr>
      <w:r w:rsidRPr="00D63D70">
        <w:rPr>
          <w:rFonts w:eastAsia="Times New Roman"/>
          <w:color w:val="000000" w:themeColor="text1"/>
          <w:sz w:val="22"/>
          <w:szCs w:val="22"/>
        </w:rPr>
        <w:t xml:space="preserve">In Scenario 4 and 6, when no PUCCH-SR is configured, the only other way to complete the BFR procedure is through the RACH-based transmission which always has RACH resources configured on the </w:t>
      </w:r>
      <w:proofErr w:type="spellStart"/>
      <w:r w:rsidRPr="00D63D70">
        <w:rPr>
          <w:rFonts w:eastAsia="Times New Roman"/>
          <w:color w:val="000000" w:themeColor="text1"/>
          <w:sz w:val="22"/>
          <w:szCs w:val="22"/>
        </w:rPr>
        <w:t>SpCell</w:t>
      </w:r>
      <w:proofErr w:type="spellEnd"/>
      <w:r w:rsidRPr="00D63D70">
        <w:rPr>
          <w:rFonts w:eastAsia="Times New Roman"/>
          <w:color w:val="000000" w:themeColor="text1"/>
          <w:sz w:val="22"/>
          <w:szCs w:val="22"/>
        </w:rPr>
        <w:t>. Similarly, for Scenario 4, when no UL grant is available, then the UE does not have the resources to send the BFR MAC-CE. The UE can use RACH-based transmission instead as a fallback.</w:t>
      </w:r>
    </w:p>
    <w:p w14:paraId="04AB57C5" w14:textId="56335CE3" w:rsidR="003F42B3" w:rsidRPr="00D63D70" w:rsidRDefault="003F42B3" w:rsidP="00D63D70">
      <w:pPr>
        <w:spacing w:after="0"/>
        <w:ind w:firstLine="288"/>
        <w:contextualSpacing/>
        <w:jc w:val="both"/>
        <w:rPr>
          <w:rFonts w:eastAsia="Times New Roman"/>
          <w:color w:val="000000" w:themeColor="text1"/>
          <w:sz w:val="22"/>
          <w:szCs w:val="22"/>
        </w:rPr>
      </w:pPr>
      <w:r w:rsidRPr="00D63D70">
        <w:rPr>
          <w:rFonts w:eastAsia="Times New Roman"/>
          <w:color w:val="000000" w:themeColor="text1"/>
          <w:sz w:val="22"/>
          <w:szCs w:val="22"/>
        </w:rPr>
        <w:t xml:space="preserve"> </w:t>
      </w:r>
    </w:p>
    <w:p w14:paraId="3C52CA4D" w14:textId="77777777" w:rsidR="003F42B3" w:rsidRDefault="003F42B3" w:rsidP="00D63D70">
      <w:pPr>
        <w:spacing w:after="0"/>
        <w:contextualSpacing/>
        <w:jc w:val="both"/>
        <w:rPr>
          <w:rFonts w:eastAsia="Times New Roman"/>
          <w:i/>
          <w:iCs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Observation 2: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PUCCH-SR procedure is the default mode of operation for per-TRP BFR whenever PUCCH-SR resources and UL grant are available. </w:t>
      </w:r>
    </w:p>
    <w:p w14:paraId="4F27CC7B" w14:textId="77777777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</w:p>
    <w:p w14:paraId="44DC62B9" w14:textId="77777777" w:rsidR="003F42B3" w:rsidRDefault="003F42B3" w:rsidP="00D63D70">
      <w:pPr>
        <w:spacing w:after="0"/>
        <w:contextualSpacing/>
        <w:jc w:val="both"/>
        <w:rPr>
          <w:rFonts w:eastAsia="Times New Roman"/>
          <w:i/>
          <w:iCs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Proposal 2: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Support RACH-based transmission for scenario 4 and 6. </w:t>
      </w:r>
    </w:p>
    <w:p w14:paraId="4482F565" w14:textId="4C02A1B1" w:rsidR="00877A0F" w:rsidRPr="00877A0F" w:rsidRDefault="00877A0F" w:rsidP="00CA1BA5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1C01ECE1" w14:textId="77777777" w:rsidR="00877A0F" w:rsidRPr="00345E46" w:rsidRDefault="00877A0F" w:rsidP="00CA1BA5">
      <w:pPr>
        <w:pStyle w:val="BodyText"/>
        <w:spacing w:after="0"/>
        <w:contextualSpacing/>
        <w:rPr>
          <w:rFonts w:eastAsiaTheme="minorEastAsia" w:cs="Times"/>
          <w:lang w:eastAsia="zh-CN"/>
        </w:rPr>
      </w:pPr>
    </w:p>
    <w:p w14:paraId="4EAB9447" w14:textId="77777777" w:rsidR="00C4142E" w:rsidRPr="00E913CF" w:rsidRDefault="00C4142E" w:rsidP="00CA1BA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lastRenderedPageBreak/>
        <w:t>Conclusions</w:t>
      </w:r>
    </w:p>
    <w:p w14:paraId="657EB805" w14:textId="3C27C0C9" w:rsidR="003F42B3" w:rsidRPr="00D63D70" w:rsidRDefault="003F42B3" w:rsidP="00D63D70">
      <w:pPr>
        <w:spacing w:after="0"/>
        <w:ind w:firstLine="288"/>
        <w:contextualSpacing/>
        <w:jc w:val="both"/>
        <w:rPr>
          <w:rFonts w:eastAsia="Times New Roman"/>
          <w:color w:val="000000" w:themeColor="text1"/>
          <w:sz w:val="22"/>
          <w:szCs w:val="22"/>
        </w:rPr>
      </w:pPr>
      <w:r w:rsidRPr="2E88448E">
        <w:rPr>
          <w:rFonts w:eastAsia="Times New Roman"/>
          <w:color w:val="000000" w:themeColor="text1"/>
          <w:sz w:val="22"/>
          <w:szCs w:val="22"/>
        </w:rPr>
        <w:t>In this contribution, we provided our views on the remaining aspects of per-TRP BFR. We make the following observations and proposals:</w:t>
      </w:r>
    </w:p>
    <w:p w14:paraId="49668BA8" w14:textId="77777777" w:rsidR="003F42B3" w:rsidRDefault="003F42B3" w:rsidP="00D63D70">
      <w:pPr>
        <w:spacing w:after="0"/>
        <w:contextualSpacing/>
        <w:jc w:val="both"/>
        <w:rPr>
          <w:rFonts w:eastAsia="Times New Roman"/>
          <w:b/>
          <w:bCs/>
          <w:i/>
          <w:iCs/>
          <w:color w:val="000000" w:themeColor="text1"/>
        </w:rPr>
      </w:pPr>
    </w:p>
    <w:p w14:paraId="7E087ED3" w14:textId="77777777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Observation 1: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The inter-cell case can be supported through associating PUCCH-SR resources from </w:t>
      </w:r>
      <w:proofErr w:type="spellStart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SpCell</w:t>
      </w:r>
      <w:proofErr w:type="spellEnd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 to TRPs in </w:t>
      </w:r>
      <w:proofErr w:type="spellStart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SCells</w:t>
      </w:r>
      <w:proofErr w:type="spellEnd"/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 xml:space="preserve">. </w:t>
      </w:r>
    </w:p>
    <w:p w14:paraId="56026C08" w14:textId="77777777" w:rsidR="00A648E1" w:rsidRDefault="00A648E1" w:rsidP="00403C65">
      <w:pPr>
        <w:spacing w:after="0"/>
        <w:contextualSpacing/>
        <w:jc w:val="both"/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</w:pPr>
    </w:p>
    <w:p w14:paraId="26F659D8" w14:textId="3B055108" w:rsidR="003F42B3" w:rsidRDefault="003F42B3" w:rsidP="00D63D70">
      <w:pPr>
        <w:spacing w:after="0"/>
        <w:contextualSpacing/>
        <w:jc w:val="both"/>
        <w:rPr>
          <w:rFonts w:eastAsia="Times New Roman"/>
          <w:i/>
          <w:iCs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Observation 2: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PUCCH-SR procedure is the default mode of operation for per-TRP BFR whenever PUCCH-SR resources and UL grant are available.</w:t>
      </w:r>
    </w:p>
    <w:p w14:paraId="53E16A3E" w14:textId="77777777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</w:p>
    <w:p w14:paraId="09B59DE6" w14:textId="77777777" w:rsidR="003F42B3" w:rsidRDefault="003F42B3" w:rsidP="00D63D70">
      <w:pPr>
        <w:spacing w:after="0"/>
        <w:contextualSpacing/>
        <w:jc w:val="both"/>
        <w:rPr>
          <w:rFonts w:eastAsia="Times New Roman"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Proposal 1: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Support Alt-1: select the PUCCH-SR associated to failed BFD-RS set.</w:t>
      </w:r>
    </w:p>
    <w:p w14:paraId="4363AFCC" w14:textId="77777777" w:rsidR="00A648E1" w:rsidRDefault="00A648E1" w:rsidP="00403C65">
      <w:pPr>
        <w:spacing w:after="0"/>
        <w:contextualSpacing/>
        <w:jc w:val="both"/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</w:pPr>
    </w:p>
    <w:p w14:paraId="17773E13" w14:textId="375B449B" w:rsidR="003F42B3" w:rsidRDefault="003F42B3" w:rsidP="00D63D70">
      <w:pPr>
        <w:spacing w:after="0"/>
        <w:contextualSpacing/>
        <w:jc w:val="both"/>
        <w:rPr>
          <w:rFonts w:eastAsia="Times New Roman"/>
          <w:i/>
          <w:iCs/>
          <w:color w:val="000000" w:themeColor="text1"/>
        </w:rPr>
      </w:pPr>
      <w:r w:rsidRPr="2E88448E">
        <w:rPr>
          <w:rFonts w:eastAsia="Times New Roman"/>
          <w:b/>
          <w:bCs/>
          <w:i/>
          <w:iCs/>
          <w:color w:val="000000" w:themeColor="text1"/>
          <w:sz w:val="22"/>
          <w:szCs w:val="22"/>
        </w:rPr>
        <w:t xml:space="preserve">Proposal 2: </w:t>
      </w:r>
      <w:r w:rsidRPr="2E88448E">
        <w:rPr>
          <w:rFonts w:eastAsia="Times New Roman"/>
          <w:i/>
          <w:iCs/>
          <w:color w:val="000000" w:themeColor="text1"/>
          <w:sz w:val="22"/>
          <w:szCs w:val="22"/>
        </w:rPr>
        <w:t>Support RACH-based transmission for scenario 4 and 6.</w:t>
      </w:r>
    </w:p>
    <w:p w14:paraId="03985289" w14:textId="77777777" w:rsidR="00877A0F" w:rsidRDefault="00877A0F" w:rsidP="002B5893">
      <w:pPr>
        <w:spacing w:after="0"/>
        <w:jc w:val="both"/>
        <w:rPr>
          <w:rFonts w:eastAsiaTheme="minorEastAsia" w:cs="Times"/>
          <w:i/>
          <w:iCs/>
          <w:sz w:val="22"/>
          <w:szCs w:val="22"/>
          <w:lang w:eastAsia="zh-CN"/>
        </w:rPr>
      </w:pPr>
    </w:p>
    <w:p w14:paraId="17F59D12" w14:textId="77777777" w:rsidR="0001343D" w:rsidRPr="00F943E9" w:rsidRDefault="0001343D" w:rsidP="00CA1BA5">
      <w:pPr>
        <w:spacing w:after="0"/>
        <w:contextualSpacing/>
        <w:jc w:val="both"/>
        <w:rPr>
          <w:rFonts w:ascii="Times" w:hAnsi="Times" w:cs="Times"/>
          <w:b/>
          <w:i/>
          <w:lang w:val="en-US" w:eastAsia="zh-CN"/>
        </w:rPr>
      </w:pPr>
    </w:p>
    <w:p w14:paraId="32220EEF" w14:textId="77777777" w:rsidR="00C4142E" w:rsidRPr="00E913CF" w:rsidRDefault="00C4142E" w:rsidP="00CA1BA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1F43F2F0" w14:textId="77777777" w:rsidR="00877A0F" w:rsidRPr="00877A0F" w:rsidRDefault="00877A0F" w:rsidP="00750DAD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2"/>
        </w:rPr>
      </w:pPr>
      <w:r w:rsidRPr="00877A0F">
        <w:rPr>
          <w:rFonts w:eastAsia="Times" w:cs="Times"/>
          <w:color w:val="000000" w:themeColor="text1"/>
          <w:sz w:val="22"/>
          <w:szCs w:val="22"/>
        </w:rPr>
        <w:t>RP-193133, “New WI: Further enhancements on MIMO for NR”, Samsung, 3GPP RAN Meeting #86, Sitges, Spain, December 9-12, 2019</w:t>
      </w:r>
    </w:p>
    <w:p w14:paraId="751C1317" w14:textId="18416171" w:rsidR="001F7D78" w:rsidRPr="00877A0F" w:rsidRDefault="004A4E4C" w:rsidP="00750DAD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2"/>
        </w:rPr>
      </w:pPr>
      <w:r w:rsidRPr="00877A0F">
        <w:rPr>
          <w:rFonts w:cs="Times"/>
          <w:sz w:val="22"/>
          <w:szCs w:val="22"/>
        </w:rPr>
        <w:t>Chairman’s Notes, 3GPP TSG RAN WG1 Meeting #106b-e, October 11th – 19th, 2021</w:t>
      </w:r>
    </w:p>
    <w:p w14:paraId="5FE8F131" w14:textId="77777777" w:rsidR="000E63A0" w:rsidRPr="00877A0F" w:rsidRDefault="000E63A0" w:rsidP="00CA1BA5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877A0F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B139" w14:textId="77777777" w:rsidR="00CE5C1C" w:rsidRDefault="00CE5C1C">
      <w:r>
        <w:separator/>
      </w:r>
    </w:p>
  </w:endnote>
  <w:endnote w:type="continuationSeparator" w:id="0">
    <w:p w14:paraId="43692A24" w14:textId="77777777" w:rsidR="00CE5C1C" w:rsidRDefault="00CE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6F815" w14:textId="77777777" w:rsidR="00CE5C1C" w:rsidRDefault="00CE5C1C">
      <w:r>
        <w:separator/>
      </w:r>
    </w:p>
  </w:footnote>
  <w:footnote w:type="continuationSeparator" w:id="0">
    <w:p w14:paraId="76FEC0BF" w14:textId="77777777" w:rsidR="00CE5C1C" w:rsidRDefault="00CE5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E178DD"/>
    <w:multiLevelType w:val="hybridMultilevel"/>
    <w:tmpl w:val="FF6A436C"/>
    <w:lvl w:ilvl="0" w:tplc="F7368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E9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342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C8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C7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0293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525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CE68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BA9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611CF"/>
    <w:multiLevelType w:val="multilevel"/>
    <w:tmpl w:val="D6F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D247D"/>
    <w:multiLevelType w:val="hybridMultilevel"/>
    <w:tmpl w:val="309AE678"/>
    <w:lvl w:ilvl="0" w:tplc="2DAA392A">
      <w:start w:val="4"/>
      <w:numFmt w:val="decimal"/>
      <w:lvlText w:val="%1."/>
      <w:lvlJc w:val="left"/>
      <w:pPr>
        <w:ind w:left="1440" w:hanging="360"/>
      </w:pPr>
    </w:lvl>
    <w:lvl w:ilvl="1" w:tplc="5FEA0B3E">
      <w:start w:val="1"/>
      <w:numFmt w:val="lowerLetter"/>
      <w:lvlText w:val="%2."/>
      <w:lvlJc w:val="left"/>
      <w:pPr>
        <w:ind w:left="2160" w:hanging="360"/>
      </w:pPr>
    </w:lvl>
    <w:lvl w:ilvl="2" w:tplc="8F3C916E">
      <w:start w:val="1"/>
      <w:numFmt w:val="lowerRoman"/>
      <w:lvlText w:val="%3."/>
      <w:lvlJc w:val="right"/>
      <w:pPr>
        <w:ind w:left="2880" w:hanging="180"/>
      </w:pPr>
    </w:lvl>
    <w:lvl w:ilvl="3" w:tplc="AFD07142">
      <w:start w:val="1"/>
      <w:numFmt w:val="decimal"/>
      <w:lvlText w:val="%4."/>
      <w:lvlJc w:val="left"/>
      <w:pPr>
        <w:ind w:left="3600" w:hanging="360"/>
      </w:pPr>
    </w:lvl>
    <w:lvl w:ilvl="4" w:tplc="776E30B8">
      <w:start w:val="1"/>
      <w:numFmt w:val="lowerLetter"/>
      <w:lvlText w:val="%5."/>
      <w:lvlJc w:val="left"/>
      <w:pPr>
        <w:ind w:left="4320" w:hanging="360"/>
      </w:pPr>
    </w:lvl>
    <w:lvl w:ilvl="5" w:tplc="8DA42FCC">
      <w:start w:val="1"/>
      <w:numFmt w:val="lowerRoman"/>
      <w:lvlText w:val="%6."/>
      <w:lvlJc w:val="right"/>
      <w:pPr>
        <w:ind w:left="5040" w:hanging="180"/>
      </w:pPr>
    </w:lvl>
    <w:lvl w:ilvl="6" w:tplc="1180B962">
      <w:start w:val="1"/>
      <w:numFmt w:val="decimal"/>
      <w:lvlText w:val="%7."/>
      <w:lvlJc w:val="left"/>
      <w:pPr>
        <w:ind w:left="5760" w:hanging="360"/>
      </w:pPr>
    </w:lvl>
    <w:lvl w:ilvl="7" w:tplc="73089828">
      <w:start w:val="1"/>
      <w:numFmt w:val="lowerLetter"/>
      <w:lvlText w:val="%8."/>
      <w:lvlJc w:val="left"/>
      <w:pPr>
        <w:ind w:left="6480" w:hanging="360"/>
      </w:pPr>
    </w:lvl>
    <w:lvl w:ilvl="8" w:tplc="CFBC0006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B337D8"/>
    <w:multiLevelType w:val="hybridMultilevel"/>
    <w:tmpl w:val="2A0683D8"/>
    <w:lvl w:ilvl="0" w:tplc="7396C6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4D438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B64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A68E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0AF0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4638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A5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FE18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4A5B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953E03"/>
    <w:multiLevelType w:val="hybridMultilevel"/>
    <w:tmpl w:val="AF3881AE"/>
    <w:lvl w:ilvl="0" w:tplc="EAC41792">
      <w:start w:val="2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330AA0"/>
    <w:multiLevelType w:val="hybridMultilevel"/>
    <w:tmpl w:val="4A6C7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3ED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6A1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A25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98E49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6BA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4A3B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FCED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41F51"/>
    <w:multiLevelType w:val="multilevel"/>
    <w:tmpl w:val="0409001D"/>
    <w:lvl w:ilvl="0">
      <w:start w:val="1"/>
      <w:numFmt w:val="decimal"/>
      <w:lvlText w:val="%1)"/>
      <w:lvlJc w:val="left"/>
      <w:pPr>
        <w:ind w:left="936" w:hanging="360"/>
      </w:pPr>
    </w:lvl>
    <w:lvl w:ilvl="1">
      <w:start w:val="1"/>
      <w:numFmt w:val="lowerLetter"/>
      <w:lvlText w:val="%2)"/>
      <w:lvlJc w:val="left"/>
      <w:pPr>
        <w:ind w:left="1296" w:hanging="360"/>
      </w:pPr>
    </w:lvl>
    <w:lvl w:ilvl="2">
      <w:start w:val="1"/>
      <w:numFmt w:val="lowerRoman"/>
      <w:lvlText w:val="%3)"/>
      <w:lvlJc w:val="left"/>
      <w:pPr>
        <w:ind w:left="1656" w:hanging="360"/>
      </w:pPr>
    </w:lvl>
    <w:lvl w:ilvl="3">
      <w:start w:val="1"/>
      <w:numFmt w:val="decimal"/>
      <w:lvlText w:val="(%4)"/>
      <w:lvlJc w:val="left"/>
      <w:pPr>
        <w:ind w:left="2016" w:hanging="360"/>
      </w:pPr>
    </w:lvl>
    <w:lvl w:ilvl="4">
      <w:start w:val="1"/>
      <w:numFmt w:val="lowerLetter"/>
      <w:lvlText w:val="(%5)"/>
      <w:lvlJc w:val="left"/>
      <w:pPr>
        <w:ind w:left="2376" w:hanging="360"/>
      </w:pPr>
    </w:lvl>
    <w:lvl w:ilvl="5">
      <w:start w:val="1"/>
      <w:numFmt w:val="lowerRoman"/>
      <w:lvlText w:val="(%6)"/>
      <w:lvlJc w:val="left"/>
      <w:pPr>
        <w:ind w:left="2736" w:hanging="360"/>
      </w:pPr>
    </w:lvl>
    <w:lvl w:ilvl="6">
      <w:start w:val="1"/>
      <w:numFmt w:val="decimal"/>
      <w:lvlText w:val="%7."/>
      <w:lvlJc w:val="left"/>
      <w:pPr>
        <w:ind w:left="3096" w:hanging="360"/>
      </w:pPr>
    </w:lvl>
    <w:lvl w:ilvl="7">
      <w:start w:val="1"/>
      <w:numFmt w:val="lowerLetter"/>
      <w:lvlText w:val="%8."/>
      <w:lvlJc w:val="left"/>
      <w:pPr>
        <w:ind w:left="3456" w:hanging="360"/>
      </w:pPr>
    </w:lvl>
    <w:lvl w:ilvl="8">
      <w:start w:val="1"/>
      <w:numFmt w:val="lowerRoman"/>
      <w:lvlText w:val="%9."/>
      <w:lvlJc w:val="left"/>
      <w:pPr>
        <w:ind w:left="3816" w:hanging="360"/>
      </w:p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540ED"/>
    <w:multiLevelType w:val="hybridMultilevel"/>
    <w:tmpl w:val="077EDC50"/>
    <w:lvl w:ilvl="0" w:tplc="69A07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8A32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1CD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B06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E58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089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1A8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C80C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BEF7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B21A4"/>
    <w:multiLevelType w:val="hybridMultilevel"/>
    <w:tmpl w:val="AB44D574"/>
    <w:lvl w:ilvl="0" w:tplc="54CC7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83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7EB2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90F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C33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DED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C3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C78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E24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0"/>
  </w:num>
  <w:num w:numId="7">
    <w:abstractNumId w:val="14"/>
    <w:lvlOverride w:ilvl="0">
      <w:startOverride w:val="1"/>
    </w:lvlOverride>
  </w:num>
  <w:num w:numId="8">
    <w:abstractNumId w:val="23"/>
  </w:num>
  <w:num w:numId="9">
    <w:abstractNumId w:val="8"/>
  </w:num>
  <w:num w:numId="10">
    <w:abstractNumId w:val="17"/>
  </w:num>
  <w:num w:numId="11">
    <w:abstractNumId w:val="6"/>
  </w:num>
  <w:num w:numId="12">
    <w:abstractNumId w:val="10"/>
  </w:num>
  <w:num w:numId="13">
    <w:abstractNumId w:val="13"/>
  </w:num>
  <w:num w:numId="14">
    <w:abstractNumId w:val="21"/>
  </w:num>
  <w:num w:numId="15">
    <w:abstractNumId w:val="4"/>
  </w:num>
  <w:num w:numId="16">
    <w:abstractNumId w:val="18"/>
  </w:num>
  <w:num w:numId="17">
    <w:abstractNumId w:val="3"/>
  </w:num>
  <w:num w:numId="18">
    <w:abstractNumId w:val="5"/>
  </w:num>
  <w:num w:numId="19">
    <w:abstractNumId w:val="11"/>
  </w:num>
  <w:num w:numId="20">
    <w:abstractNumId w:val="19"/>
  </w:num>
  <w:num w:numId="21">
    <w:abstractNumId w:val="22"/>
  </w:num>
  <w:num w:numId="22">
    <w:abstractNumId w:val="24"/>
  </w:num>
  <w:num w:numId="23">
    <w:abstractNumId w:val="12"/>
  </w:num>
  <w:num w:numId="24">
    <w:abstractNumId w:val="2"/>
  </w:num>
  <w:num w:numId="2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BC"/>
    <w:rsid w:val="00072EC1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656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EB1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133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1EA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A53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D02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04D"/>
    <w:rsid w:val="000F52FB"/>
    <w:rsid w:val="000F53CB"/>
    <w:rsid w:val="000F5474"/>
    <w:rsid w:val="000F56C7"/>
    <w:rsid w:val="000F58EB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450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B27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F7A"/>
    <w:rsid w:val="001560F3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6E4C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A0E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4CA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C75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FA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3B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0F8D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8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1FF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78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4F4B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1B53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2F2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3A7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AB5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893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B7E3A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6B4"/>
    <w:rsid w:val="002C47BD"/>
    <w:rsid w:val="002C4A12"/>
    <w:rsid w:val="002C4FAC"/>
    <w:rsid w:val="002C545A"/>
    <w:rsid w:val="002C5533"/>
    <w:rsid w:val="002C5620"/>
    <w:rsid w:val="002C5A6B"/>
    <w:rsid w:val="002C5DAF"/>
    <w:rsid w:val="002C61E0"/>
    <w:rsid w:val="002C64B3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90A"/>
    <w:rsid w:val="002F2AE0"/>
    <w:rsid w:val="002F2C3D"/>
    <w:rsid w:val="002F2FE2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89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02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322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4BD"/>
    <w:rsid w:val="00366796"/>
    <w:rsid w:val="00366812"/>
    <w:rsid w:val="00366908"/>
    <w:rsid w:val="00366EB2"/>
    <w:rsid w:val="00367080"/>
    <w:rsid w:val="00367D2F"/>
    <w:rsid w:val="0037004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862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4EDC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3EF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40D"/>
    <w:rsid w:val="003C369D"/>
    <w:rsid w:val="003C3B73"/>
    <w:rsid w:val="003C4002"/>
    <w:rsid w:val="003C40B9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7F"/>
    <w:rsid w:val="003D0CCB"/>
    <w:rsid w:val="003D0D75"/>
    <w:rsid w:val="003D0E68"/>
    <w:rsid w:val="003D148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C88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2B3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C65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2B"/>
    <w:rsid w:val="00414A45"/>
    <w:rsid w:val="00414A69"/>
    <w:rsid w:val="00414E4B"/>
    <w:rsid w:val="004151E9"/>
    <w:rsid w:val="004153D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45C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5B1"/>
    <w:rsid w:val="00455C09"/>
    <w:rsid w:val="00455D5C"/>
    <w:rsid w:val="00456114"/>
    <w:rsid w:val="00456189"/>
    <w:rsid w:val="00456721"/>
    <w:rsid w:val="00456971"/>
    <w:rsid w:val="004569CC"/>
    <w:rsid w:val="00456B9B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B7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30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42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933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046"/>
    <w:rsid w:val="004A15F7"/>
    <w:rsid w:val="004A1600"/>
    <w:rsid w:val="004A1856"/>
    <w:rsid w:val="004A1B20"/>
    <w:rsid w:val="004A1D1E"/>
    <w:rsid w:val="004A1E8C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4C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3B7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956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274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1E8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1B8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B3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E9A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77"/>
    <w:rsid w:val="005758BA"/>
    <w:rsid w:val="00575E27"/>
    <w:rsid w:val="00575EAE"/>
    <w:rsid w:val="00575EC1"/>
    <w:rsid w:val="00576050"/>
    <w:rsid w:val="0057681E"/>
    <w:rsid w:val="00576920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719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CC1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8F8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5FA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25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B4"/>
    <w:rsid w:val="00612C73"/>
    <w:rsid w:val="00612D12"/>
    <w:rsid w:val="00613036"/>
    <w:rsid w:val="006131CC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69D"/>
    <w:rsid w:val="0062286B"/>
    <w:rsid w:val="00622CAE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445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68F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B93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AAE"/>
    <w:rsid w:val="00656C60"/>
    <w:rsid w:val="00656D6F"/>
    <w:rsid w:val="00657005"/>
    <w:rsid w:val="006578D9"/>
    <w:rsid w:val="00657CCF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A27"/>
    <w:rsid w:val="0067044E"/>
    <w:rsid w:val="006704BF"/>
    <w:rsid w:val="00670590"/>
    <w:rsid w:val="006705E3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3FB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50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77C"/>
    <w:rsid w:val="006C6E92"/>
    <w:rsid w:val="006C75C9"/>
    <w:rsid w:val="006C7EB2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3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4F9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47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7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AB"/>
    <w:rsid w:val="007420C9"/>
    <w:rsid w:val="00742235"/>
    <w:rsid w:val="007422B2"/>
    <w:rsid w:val="007424A4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DAD"/>
    <w:rsid w:val="007515C8"/>
    <w:rsid w:val="007515FA"/>
    <w:rsid w:val="00751734"/>
    <w:rsid w:val="007517D1"/>
    <w:rsid w:val="00751F76"/>
    <w:rsid w:val="00752497"/>
    <w:rsid w:val="0075288B"/>
    <w:rsid w:val="007529C5"/>
    <w:rsid w:val="00752BDE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37C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9D2"/>
    <w:rsid w:val="007D0BCB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C45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8A1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B50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47CF1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E5C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213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60D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A0F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8B2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0F45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40D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01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1A4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42"/>
    <w:rsid w:val="008E0CDD"/>
    <w:rsid w:val="008E0E89"/>
    <w:rsid w:val="008E0E8C"/>
    <w:rsid w:val="008E1217"/>
    <w:rsid w:val="008E1294"/>
    <w:rsid w:val="008E1500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98D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6C62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72E"/>
    <w:rsid w:val="00912DED"/>
    <w:rsid w:val="009131D7"/>
    <w:rsid w:val="009136E4"/>
    <w:rsid w:val="009138EB"/>
    <w:rsid w:val="00913A78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6FC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1DF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299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59C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19B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430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1F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69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39E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D16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B30"/>
    <w:rsid w:val="009B6C13"/>
    <w:rsid w:val="009B6F4A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29F4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E07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00B"/>
    <w:rsid w:val="009F31EC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3AC0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949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BA8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5D3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0DD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3F9F"/>
    <w:rsid w:val="00A64196"/>
    <w:rsid w:val="00A648E1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0F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8DE"/>
    <w:rsid w:val="00A90E27"/>
    <w:rsid w:val="00A91218"/>
    <w:rsid w:val="00A91469"/>
    <w:rsid w:val="00A9164F"/>
    <w:rsid w:val="00A91982"/>
    <w:rsid w:val="00A91F3E"/>
    <w:rsid w:val="00A9227C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7F1"/>
    <w:rsid w:val="00AF3C80"/>
    <w:rsid w:val="00AF3C8C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5C0D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D3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13A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5DFA"/>
    <w:rsid w:val="00B460A0"/>
    <w:rsid w:val="00B461C8"/>
    <w:rsid w:val="00B462D6"/>
    <w:rsid w:val="00B46347"/>
    <w:rsid w:val="00B46825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BC3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34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894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8E6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69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C72"/>
    <w:rsid w:val="00C25D3A"/>
    <w:rsid w:val="00C263AE"/>
    <w:rsid w:val="00C26871"/>
    <w:rsid w:val="00C2695A"/>
    <w:rsid w:val="00C26CB2"/>
    <w:rsid w:val="00C26DE9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1F"/>
    <w:rsid w:val="00C33DCE"/>
    <w:rsid w:val="00C33EB1"/>
    <w:rsid w:val="00C3423F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5D9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9D"/>
    <w:rsid w:val="00C601EB"/>
    <w:rsid w:val="00C60550"/>
    <w:rsid w:val="00C60EC1"/>
    <w:rsid w:val="00C60FFC"/>
    <w:rsid w:val="00C6119C"/>
    <w:rsid w:val="00C61B02"/>
    <w:rsid w:val="00C61DE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A1"/>
    <w:rsid w:val="00C96127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72"/>
    <w:rsid w:val="00CA31B3"/>
    <w:rsid w:val="00CA39E8"/>
    <w:rsid w:val="00CA3CF5"/>
    <w:rsid w:val="00CA464D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11BD"/>
    <w:rsid w:val="00CB1368"/>
    <w:rsid w:val="00CB1467"/>
    <w:rsid w:val="00CB16B2"/>
    <w:rsid w:val="00CB18E6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D2C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C1C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95F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A32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9D3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984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239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80F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3D70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57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68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716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79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07F8D"/>
    <w:rsid w:val="00E1007C"/>
    <w:rsid w:val="00E102BD"/>
    <w:rsid w:val="00E1039D"/>
    <w:rsid w:val="00E103F8"/>
    <w:rsid w:val="00E104DE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5AA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13A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A18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1F7"/>
    <w:rsid w:val="00E722EF"/>
    <w:rsid w:val="00E723D3"/>
    <w:rsid w:val="00E7242A"/>
    <w:rsid w:val="00E7245A"/>
    <w:rsid w:val="00E72521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0A2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07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0C4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7E7"/>
    <w:rsid w:val="00EB593E"/>
    <w:rsid w:val="00EB5BE9"/>
    <w:rsid w:val="00EB5CC3"/>
    <w:rsid w:val="00EB6440"/>
    <w:rsid w:val="00EB6652"/>
    <w:rsid w:val="00EB6698"/>
    <w:rsid w:val="00EB6763"/>
    <w:rsid w:val="00EB6C27"/>
    <w:rsid w:val="00EB6C53"/>
    <w:rsid w:val="00EB71E2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9C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61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49"/>
    <w:rsid w:val="00F006E4"/>
    <w:rsid w:val="00F007E0"/>
    <w:rsid w:val="00F00923"/>
    <w:rsid w:val="00F00A7F"/>
    <w:rsid w:val="00F00A86"/>
    <w:rsid w:val="00F00C9D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4F36"/>
    <w:rsid w:val="00F35181"/>
    <w:rsid w:val="00F3521B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8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02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3E9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904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3E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apple-converted-space">
    <w:name w:val="apple-converted-space"/>
    <w:qFormat/>
    <w:rsid w:val="00890F45"/>
  </w:style>
  <w:style w:type="paragraph" w:customStyle="1" w:styleId="xmsonormal">
    <w:name w:val="x_msonormal"/>
    <w:basedOn w:val="Normal"/>
    <w:qFormat/>
    <w:rsid w:val="003F42B3"/>
    <w:pPr>
      <w:overflowPunct/>
      <w:autoSpaceDE/>
      <w:autoSpaceDN/>
      <w:adjustRightInd/>
      <w:spacing w:after="0" w:line="259" w:lineRule="auto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5962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7</cp:revision>
  <cp:lastPrinted>2021-11-04T16:14:00Z</cp:lastPrinted>
  <dcterms:created xsi:type="dcterms:W3CDTF">2021-11-04T15:21:00Z</dcterms:created>
  <dcterms:modified xsi:type="dcterms:W3CDTF">2021-11-05T16:27:00Z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